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13" w:rsidRDefault="00BB5494">
      <w:pPr>
        <w:pStyle w:val="Titel"/>
      </w:pPr>
      <w:r>
        <w:t>Modul G3b</w:t>
      </w:r>
      <w:r w:rsidR="002F5FB0">
        <w:t xml:space="preserve"> Sachunterricht</w:t>
      </w:r>
    </w:p>
    <w:p w:rsidR="00390213" w:rsidRDefault="002F5FB0" w:rsidP="008E0904">
      <w:pPr>
        <w:pStyle w:val="Untertitel"/>
        <w:spacing w:before="60" w:after="120" w:line="240" w:lineRule="auto"/>
        <w:contextualSpacing/>
      </w:pPr>
      <w:r>
        <w:t>Jürgen Böhner</w:t>
      </w:r>
      <w:r w:rsidR="008E0904">
        <w:t xml:space="preserve"> </w:t>
      </w:r>
    </w:p>
    <w:p w:rsidR="000813A5" w:rsidRDefault="000813A5" w:rsidP="008E0904">
      <w:pPr>
        <w:spacing w:after="0" w:line="240" w:lineRule="auto"/>
      </w:pPr>
      <w:r>
        <w:t>Inhalte:</w:t>
      </w:r>
    </w:p>
    <w:p w:rsidR="00BB5494" w:rsidRPr="00BB5494" w:rsidRDefault="00BB5494" w:rsidP="00BB5494">
      <w:pPr>
        <w:spacing w:after="0" w:line="240" w:lineRule="auto"/>
      </w:pPr>
      <w:r w:rsidRPr="00BB5494">
        <w:t xml:space="preserve">•Umgang mit Kinderfragen und Schülervorstellungen </w:t>
      </w:r>
    </w:p>
    <w:p w:rsidR="00BB5494" w:rsidRPr="00CF587D" w:rsidRDefault="00BB5494" w:rsidP="00BB5494">
      <w:pPr>
        <w:spacing w:after="0" w:line="240" w:lineRule="auto"/>
      </w:pPr>
      <w:r w:rsidRPr="00BB5494">
        <w:t xml:space="preserve">•Offene Lernsituationen im Sachunterricht </w:t>
      </w:r>
    </w:p>
    <w:p w:rsidR="00BB5494" w:rsidRDefault="00BB5494" w:rsidP="00BB5494">
      <w:pPr>
        <w:spacing w:after="0" w:line="240" w:lineRule="auto"/>
      </w:pPr>
      <w:r w:rsidRPr="00BB5494">
        <w:t>•Planung, Durchführung und Reflexion eines</w:t>
      </w:r>
      <w:r w:rsidRPr="00CF587D">
        <w:t xml:space="preserve"> </w:t>
      </w:r>
      <w:r w:rsidRPr="00BB5494">
        <w:t xml:space="preserve">kompetenzorientierten Unterrichts </w:t>
      </w:r>
    </w:p>
    <w:p w:rsidR="00A033E2" w:rsidRPr="00A033E2" w:rsidRDefault="00A033E2" w:rsidP="00A033E2">
      <w:pPr>
        <w:spacing w:after="0" w:line="240" w:lineRule="auto"/>
      </w:pPr>
      <w:r w:rsidRPr="00A033E2">
        <w:t xml:space="preserve">•Fachspezifische Methoden und Medien </w:t>
      </w:r>
    </w:p>
    <w:p w:rsidR="00A033E2" w:rsidRPr="00A033E2" w:rsidRDefault="00A033E2" w:rsidP="00A033E2">
      <w:pPr>
        <w:spacing w:after="0" w:line="240" w:lineRule="auto"/>
      </w:pPr>
      <w:r w:rsidRPr="00A033E2">
        <w:t xml:space="preserve">Modulbezogene schulrechtliche Regelungen </w:t>
      </w:r>
    </w:p>
    <w:p w:rsidR="00E432E3" w:rsidRPr="00BB5494" w:rsidRDefault="00E432E3" w:rsidP="00BB5494">
      <w:pPr>
        <w:spacing w:after="0" w:line="240" w:lineRule="auto"/>
      </w:pPr>
    </w:p>
    <w:tbl>
      <w:tblPr>
        <w:tblStyle w:val="AufgabenlisteTabelle"/>
        <w:tblW w:w="5000" w:type="pct"/>
        <w:tblLook w:val="04A0" w:firstRow="1" w:lastRow="0" w:firstColumn="1" w:lastColumn="0" w:noHBand="0" w:noVBand="1"/>
        <w:tblDescription w:val="Task list"/>
      </w:tblPr>
      <w:tblGrid>
        <w:gridCol w:w="3740"/>
        <w:gridCol w:w="3739"/>
        <w:gridCol w:w="3739"/>
        <w:gridCol w:w="3739"/>
      </w:tblGrid>
      <w:tr w:rsidR="000813A5" w:rsidTr="002F5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Borders>
              <w:left w:val="single" w:sz="4" w:space="0" w:color="629DD1" w:themeColor="accent2"/>
              <w:bottom w:val="single" w:sz="4" w:space="0" w:color="FFFFFF" w:themeColor="background1"/>
            </w:tcBorders>
            <w:shd w:val="clear" w:color="auto" w:fill="629DD1" w:themeFill="accent2"/>
            <w:vAlign w:val="bottom"/>
          </w:tcPr>
          <w:p w:rsidR="000813A5" w:rsidRDefault="000813A5">
            <w:r>
              <w:t>Setting 1</w:t>
            </w:r>
          </w:p>
        </w:tc>
        <w:tc>
          <w:tcPr>
            <w:tcW w:w="1250" w:type="pct"/>
            <w:tcBorders>
              <w:bottom w:val="single" w:sz="4" w:space="0" w:color="FFFFFF" w:themeColor="background1"/>
            </w:tcBorders>
            <w:vAlign w:val="bottom"/>
          </w:tcPr>
          <w:p w:rsidR="000813A5" w:rsidRDefault="000813A5">
            <w:r>
              <w:t>Setting 2</w:t>
            </w:r>
          </w:p>
        </w:tc>
        <w:tc>
          <w:tcPr>
            <w:tcW w:w="1250" w:type="pct"/>
            <w:tcBorders>
              <w:bottom w:val="single" w:sz="4" w:space="0" w:color="FFFFFF" w:themeColor="background1"/>
            </w:tcBorders>
            <w:shd w:val="clear" w:color="auto" w:fill="85B2F6" w:themeFill="background2" w:themeFillShade="E6"/>
            <w:vAlign w:val="bottom"/>
          </w:tcPr>
          <w:p w:rsidR="000813A5" w:rsidRDefault="000813A5">
            <w:r>
              <w:t>Setting 3</w:t>
            </w:r>
          </w:p>
        </w:tc>
        <w:tc>
          <w:tcPr>
            <w:tcW w:w="1250" w:type="pct"/>
            <w:tcBorders>
              <w:bottom w:val="single" w:sz="4" w:space="0" w:color="FFFFFF" w:themeColor="background1"/>
              <w:right w:val="single" w:sz="4" w:space="0" w:color="7F8FA9" w:themeColor="accent4"/>
            </w:tcBorders>
            <w:shd w:val="clear" w:color="auto" w:fill="7F8FA9" w:themeFill="accent4"/>
            <w:vAlign w:val="bottom"/>
          </w:tcPr>
          <w:p w:rsidR="000813A5" w:rsidRDefault="000813A5">
            <w:r>
              <w:t>Setting 4</w:t>
            </w:r>
          </w:p>
        </w:tc>
      </w:tr>
      <w:tr w:rsidR="00390213" w:rsidTr="002F5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Borders>
              <w:left w:val="single" w:sz="4" w:space="0" w:color="629DD1" w:themeColor="accent2"/>
              <w:bottom w:val="single" w:sz="4" w:space="0" w:color="FFFFFF" w:themeColor="background1"/>
            </w:tcBorders>
            <w:shd w:val="clear" w:color="auto" w:fill="629DD1" w:themeFill="accent2"/>
            <w:vAlign w:val="bottom"/>
          </w:tcPr>
          <w:p w:rsidR="00390213" w:rsidRDefault="00EC35B8" w:rsidP="008E0904">
            <w:r>
              <w:t xml:space="preserve">Geographische                </w:t>
            </w:r>
            <w:r w:rsidR="002F5FB0">
              <w:t xml:space="preserve"> Perspektive</w:t>
            </w:r>
          </w:p>
        </w:tc>
        <w:tc>
          <w:tcPr>
            <w:tcW w:w="1250" w:type="pct"/>
            <w:tcBorders>
              <w:bottom w:val="single" w:sz="4" w:space="0" w:color="FFFFFF" w:themeColor="background1"/>
            </w:tcBorders>
            <w:vAlign w:val="bottom"/>
          </w:tcPr>
          <w:p w:rsidR="00390213" w:rsidRDefault="00566B87" w:rsidP="00712D5A">
            <w:r>
              <w:t>Histor</w:t>
            </w:r>
            <w:r w:rsidR="008E0904">
              <w:t xml:space="preserve">ische </w:t>
            </w:r>
            <w:r w:rsidR="00712D5A">
              <w:t xml:space="preserve">                         </w:t>
            </w:r>
            <w:r w:rsidR="008E0904">
              <w:t>Perspektive</w:t>
            </w:r>
          </w:p>
        </w:tc>
        <w:tc>
          <w:tcPr>
            <w:tcW w:w="1250" w:type="pct"/>
            <w:tcBorders>
              <w:bottom w:val="single" w:sz="4" w:space="0" w:color="FFFFFF" w:themeColor="background1"/>
            </w:tcBorders>
            <w:shd w:val="clear" w:color="auto" w:fill="85B2F6" w:themeFill="background2" w:themeFillShade="E6"/>
            <w:vAlign w:val="bottom"/>
          </w:tcPr>
          <w:p w:rsidR="00390213" w:rsidRDefault="00550612">
            <w:r>
              <w:t>Sozialwissenschaftliche Perspektive</w:t>
            </w:r>
          </w:p>
        </w:tc>
        <w:tc>
          <w:tcPr>
            <w:tcW w:w="1250" w:type="pct"/>
            <w:tcBorders>
              <w:bottom w:val="single" w:sz="4" w:space="0" w:color="FFFFFF" w:themeColor="background1"/>
              <w:right w:val="single" w:sz="4" w:space="0" w:color="7F8FA9" w:themeColor="accent4"/>
            </w:tcBorders>
            <w:shd w:val="clear" w:color="auto" w:fill="7F8FA9" w:themeFill="accent4"/>
            <w:vAlign w:val="bottom"/>
          </w:tcPr>
          <w:p w:rsidR="00390213" w:rsidRDefault="002C04E9">
            <w:r>
              <w:t>Naturwissenschaftliche Perspektive</w:t>
            </w:r>
          </w:p>
        </w:tc>
      </w:tr>
      <w:sdt>
        <w:sdtPr>
          <w:id w:val="818924933"/>
          <w15:repeatingSection/>
        </w:sdtPr>
        <w:sdtEndPr/>
        <w:sdtContent>
          <w:sdt>
            <w:sdtPr>
              <w:id w:val="-331144640"/>
              <w:placeholder>
                <w:docPart w:val="8966C451A01F4C2681EFA0D907DEAA60"/>
              </w:placeholder>
              <w15:repeatingSectionItem/>
            </w:sdtPr>
            <w:sdtEndPr/>
            <w:sdtContent>
              <w:tr w:rsidR="00390213" w:rsidTr="002F5FB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90213" w:rsidRPr="008E0904" w:rsidRDefault="000813A5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 w:rsidR="00CF587D">
                      <w:rPr>
                        <w:b/>
                      </w:rPr>
                      <w:t>Gewässergütebestimmung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0813A5" w:rsidRDefault="00CF587D">
                    <w:pPr>
                      <w:jc w:val="left"/>
                    </w:pPr>
                    <w:r>
                      <w:t>Der außerschulische Lernort im SU,</w:t>
                    </w:r>
                    <w:r w:rsidR="005F329E">
                      <w:t xml:space="preserve"> Erfahrungsorientierung, Entdeckendes Lernen, Originale Begegnung</w:t>
                    </w:r>
                  </w:p>
                  <w:p w:rsidR="00B13C7D" w:rsidRDefault="00B13C7D">
                    <w:pPr>
                      <w:jc w:val="left"/>
                    </w:pPr>
                    <w:r>
                      <w:t xml:space="preserve">Literatur: </w:t>
                    </w:r>
                    <w:r w:rsidR="005F329E">
                      <w:t>A</w:t>
                    </w:r>
                    <w:r>
                      <w:t xml:space="preserve">. </w:t>
                    </w:r>
                    <w:r w:rsidR="005F329E">
                      <w:t>Kaiser</w:t>
                    </w:r>
                    <w:r>
                      <w:t xml:space="preserve">: </w:t>
                    </w:r>
                    <w:r w:rsidR="005F329E">
                      <w:t>Einführung in die Didaktik des Sachunterrichts</w:t>
                    </w:r>
                    <w:r>
                      <w:t xml:space="preserve"> 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9375B" w:rsidRPr="008E0904" w:rsidRDefault="0069375B" w:rsidP="0069375B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>
                      <w:rPr>
                        <w:b/>
                      </w:rPr>
                      <w:t>Hexen waren böse</w:t>
                    </w:r>
                    <w:r w:rsidR="00AB33CE">
                      <w:rPr>
                        <w:b/>
                      </w:rPr>
                      <w:t>,</w:t>
                    </w:r>
                    <w:bookmarkStart w:id="0" w:name="_GoBack"/>
                    <w:bookmarkEnd w:id="0"/>
                    <w:r>
                      <w:rPr>
                        <w:b/>
                      </w:rPr>
                      <w:t xml:space="preserve"> aber Hexe Lilli ist lieb!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69375B" w:rsidRDefault="0069375B" w:rsidP="0069375B">
                    <w:pPr>
                      <w:jc w:val="left"/>
                    </w:pPr>
                    <w:r>
                      <w:t>Antizipieren von Kindervorstellungen, Lernvoraussetzungen, historische Frage</w:t>
                    </w:r>
                  </w:p>
                  <w:p w:rsidR="00390213" w:rsidRDefault="0069375B" w:rsidP="0069375B">
                    <w:pPr>
                      <w:jc w:val="left"/>
                    </w:pPr>
                    <w:r>
                      <w:t>Literatur: R. Rohrbach: Kinder &amp; Vergangenheit, Gegenwart, Zukunft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56D71" w:rsidRPr="008E0904" w:rsidRDefault="00356D71" w:rsidP="00356D71">
                    <w:pPr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UB</w:t>
                    </w:r>
                  </w:p>
                  <w:p w:rsidR="00356D71" w:rsidRDefault="006F2037" w:rsidP="00356D71">
                    <w:pPr>
                      <w:jc w:val="left"/>
                    </w:pPr>
                    <w:r w:rsidRPr="000813A5">
                      <w:t>Planung, Durchführung und Reflexion eines</w:t>
                    </w:r>
                    <w:r>
                      <w:t xml:space="preserve"> </w:t>
                    </w:r>
                    <w:r w:rsidRPr="000813A5">
                      <w:t xml:space="preserve">kompetenzorientierten Unterrichts </w:t>
                    </w:r>
                  </w:p>
                  <w:p w:rsidR="00390213" w:rsidRDefault="00356D71" w:rsidP="006F2037">
                    <w:pPr>
                      <w:jc w:val="left"/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  <w:r>
                      <w:t xml:space="preserve">Literatur: </w:t>
                    </w:r>
                    <w:r w:rsidR="006F2037">
                      <w:t>Leitfaden UV</w:t>
                    </w:r>
                    <w:r w:rsidR="005717DE">
                      <w:t>,</w:t>
                    </w:r>
                    <w:r w:rsidR="006F2037">
                      <w:t xml:space="preserve"> Studsem HU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C04E9" w:rsidRPr="008E0904" w:rsidRDefault="002C04E9" w:rsidP="002C04E9">
                    <w:pPr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UB</w:t>
                    </w:r>
                  </w:p>
                  <w:p w:rsidR="002C04E9" w:rsidRDefault="002C04E9" w:rsidP="002C04E9">
                    <w:pPr>
                      <w:jc w:val="left"/>
                    </w:pPr>
                    <w:r w:rsidRPr="000813A5">
                      <w:t>Planung, Durchführung und Reflexion eines</w:t>
                    </w:r>
                    <w:r>
                      <w:t xml:space="preserve"> </w:t>
                    </w:r>
                    <w:r w:rsidRPr="000813A5">
                      <w:t xml:space="preserve">kompetenzorientierten Unterrichts </w:t>
                    </w:r>
                  </w:p>
                  <w:p w:rsidR="00390213" w:rsidRDefault="002C04E9" w:rsidP="002C04E9">
                    <w:pPr>
                      <w:jc w:val="left"/>
                    </w:pPr>
                    <w:r>
                      <w:t>Literatur: Leitfaden UV</w:t>
                    </w:r>
                    <w:r w:rsidR="005717DE">
                      <w:t>,</w:t>
                    </w:r>
                    <w:r>
                      <w:t xml:space="preserve"> Studsem HU </w:t>
                    </w:r>
                  </w:p>
                </w:tc>
              </w:tr>
            </w:sdtContent>
          </w:sdt>
          <w:sdt>
            <w:sdtPr>
              <w:id w:val="-904148594"/>
              <w:placeholder>
                <w:docPart w:val="3EE43FDDB4EE4C39AA8C3A3C899FC5AE"/>
              </w:placeholder>
              <w15:repeatingSectionItem/>
            </w:sdtPr>
            <w:sdtEndPr/>
            <w:sdtContent>
              <w:tr w:rsidR="00DD40B5" w:rsidTr="002F5FB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DD40B5" w:rsidRPr="008E0904" w:rsidRDefault="00B13C7D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 w:rsidR="005F329E">
                      <w:rPr>
                        <w:b/>
                      </w:rPr>
                      <w:t>Waldspaziergang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B13C7D" w:rsidRDefault="00EC35B8">
                    <w:pPr>
                      <w:jc w:val="left"/>
                    </w:pPr>
                    <w:r>
                      <w:t>Karten lesen + erstellen</w:t>
                    </w:r>
                    <w:r w:rsidR="005F329E">
                      <w:t xml:space="preserve">, </w:t>
                    </w:r>
                    <w:r>
                      <w:t>Orientierung im Wald, Spielen und Entdecken</w:t>
                    </w:r>
                  </w:p>
                  <w:p w:rsidR="00B13C7D" w:rsidRDefault="00B13C7D">
                    <w:pPr>
                      <w:jc w:val="left"/>
                    </w:pPr>
                    <w:r>
                      <w:t>Literatur</w:t>
                    </w:r>
                    <w:r w:rsidR="00F0214E">
                      <w:t>:</w:t>
                    </w:r>
                    <w:r>
                      <w:t xml:space="preserve"> </w:t>
                    </w:r>
                    <w:r w:rsidR="005F329E">
                      <w:t>J. Cornell</w:t>
                    </w:r>
                    <w:r>
                      <w:t xml:space="preserve">: </w:t>
                    </w:r>
                    <w:r w:rsidR="005F329E">
                      <w:t>Mit Kindern die Natur erleben.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9375B" w:rsidRPr="008E0904" w:rsidRDefault="0069375B" w:rsidP="0069375B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>
                      <w:rPr>
                        <w:b/>
                      </w:rPr>
                      <w:t>Historische Zeit sichtbar machen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69375B" w:rsidRDefault="0069375B" w:rsidP="0069375B">
                    <w:pPr>
                      <w:jc w:val="left"/>
                    </w:pPr>
                    <w:r>
                      <w:t>Arbeiten mit Zeitleisten, Unterrichtsbausteine</w:t>
                    </w:r>
                  </w:p>
                  <w:p w:rsidR="0069375B" w:rsidRDefault="0069375B" w:rsidP="0069375B">
                    <w:pPr>
                      <w:jc w:val="left"/>
                    </w:pPr>
                    <w:r>
                      <w:t>Literatur: Friedrich Grundschule Sachunterricht: Nr.43 / 2009</w:t>
                    </w:r>
                  </w:p>
                  <w:p w:rsidR="00DD40B5" w:rsidRDefault="00DD40B5" w:rsidP="0069375B">
                    <w:pPr>
                      <w:jc w:val="left"/>
                    </w:pP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F2037" w:rsidRPr="008E0904" w:rsidRDefault="006F2037" w:rsidP="006F2037">
                    <w:pPr>
                      <w:jc w:val="left"/>
                      <w:rPr>
                        <w:b/>
                      </w:rPr>
                    </w:pPr>
                    <w:r>
                      <w:rPr>
                        <w:b/>
                      </w:rPr>
                      <w:t>„</w:t>
                    </w:r>
                    <w:r w:rsidR="00550612">
                      <w:rPr>
                        <w:b/>
                      </w:rPr>
                      <w:t>Klassensprecher müssen stark sein!</w:t>
                    </w:r>
                    <w:r>
                      <w:rPr>
                        <w:b/>
                      </w:rPr>
                      <w:t>“</w:t>
                    </w:r>
                  </w:p>
                  <w:p w:rsidR="006F2037" w:rsidRDefault="00550612" w:rsidP="006F2037">
                    <w:pPr>
                      <w:jc w:val="left"/>
                    </w:pPr>
                    <w:r>
                      <w:t>Politische Bildung in der GS, demokratisches Lernen</w:t>
                    </w:r>
                  </w:p>
                  <w:p w:rsidR="00DD40B5" w:rsidRDefault="006F2037" w:rsidP="006F2037">
                    <w:pPr>
                      <w:jc w:val="left"/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  <w:r>
                      <w:t xml:space="preserve">Literatur: </w:t>
                    </w:r>
                    <w:r w:rsidR="00550612">
                      <w:t>bpb: Demokratie verstehen lernen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C04E9" w:rsidRPr="008E0904" w:rsidRDefault="002C04E9" w:rsidP="002C04E9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 w:rsidR="00EC35B8">
                      <w:rPr>
                        <w:b/>
                      </w:rPr>
                      <w:t>Samenflieger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2C04E9" w:rsidRDefault="00EC35B8" w:rsidP="002C04E9">
                    <w:pPr>
                      <w:jc w:val="left"/>
                    </w:pPr>
                    <w:r w:rsidRPr="00714F6A">
                      <w:rPr>
                        <w:highlight w:val="yellow"/>
                      </w:rPr>
                      <w:t>Sprachbildung im und durch Sachunterricht</w:t>
                    </w:r>
                    <w:r w:rsidR="00E432E3">
                      <w:t>, mit Phänomenen auseinandersetzen</w:t>
                    </w:r>
                    <w:r w:rsidR="002C04E9" w:rsidRPr="000813A5">
                      <w:t xml:space="preserve"> </w:t>
                    </w:r>
                  </w:p>
                  <w:p w:rsidR="00DD40B5" w:rsidRDefault="002C04E9" w:rsidP="002C04E9">
                    <w:pPr>
                      <w:jc w:val="left"/>
                    </w:pPr>
                    <w:r>
                      <w:t xml:space="preserve">Literatur: </w:t>
                    </w:r>
                    <w:r w:rsidR="00EC35B8">
                      <w:t>Lange</w:t>
                    </w:r>
                    <w:r>
                      <w:t xml:space="preserve">/Hartinger: </w:t>
                    </w:r>
                    <w:r w:rsidR="00A033E2">
                      <w:t>SU</w:t>
                    </w:r>
                    <w:r w:rsidR="00EC35B8">
                      <w:t>, Didaktik für die Grundschule</w:t>
                    </w:r>
                  </w:p>
                </w:tc>
              </w:tr>
            </w:sdtContent>
          </w:sdt>
          <w:sdt>
            <w:sdtPr>
              <w:id w:val="-724911051"/>
              <w:placeholder>
                <w:docPart w:val="EFC8DCBE4B8B4A4BB2EF571465A427EE"/>
              </w:placeholder>
              <w15:repeatingSectionItem/>
            </w:sdtPr>
            <w:sdtEndPr/>
            <w:sdtContent>
              <w:tr w:rsidR="00DD40B5" w:rsidTr="002F5FB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DD40B5" w:rsidRPr="008E0904" w:rsidRDefault="00B13C7D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 w:rsidR="000B3CFD">
                      <w:rPr>
                        <w:b/>
                      </w:rPr>
                      <w:t>Wir erstellen einen Kinderreiseführer unserer Region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B13C7D" w:rsidRDefault="00B13C7D">
                    <w:pPr>
                      <w:jc w:val="left"/>
                    </w:pPr>
                    <w:r>
                      <w:t xml:space="preserve">Eigenes </w:t>
                    </w:r>
                    <w:r w:rsidR="00CA25D9">
                      <w:t>E</w:t>
                    </w:r>
                    <w:r>
                      <w:t>rproben</w:t>
                    </w:r>
                    <w:r w:rsidR="00CA25D9">
                      <w:t xml:space="preserve"> und R</w:t>
                    </w:r>
                    <w:r w:rsidR="00EE1D78">
                      <w:t>eflektieren</w:t>
                    </w:r>
                    <w:r>
                      <w:t xml:space="preserve"> komplexer Aufgabenformate.</w:t>
                    </w:r>
                  </w:p>
                  <w:p w:rsidR="008E0904" w:rsidRDefault="008E0904">
                    <w:pPr>
                      <w:jc w:val="left"/>
                    </w:pPr>
                    <w:r>
                      <w:t xml:space="preserve">Literatur: </w:t>
                    </w:r>
                    <w:r w:rsidR="000B3CFD">
                      <w:t>Hessisches Kultusministerium</w:t>
                    </w:r>
                    <w:r>
                      <w:t xml:space="preserve">: </w:t>
                    </w:r>
                    <w:r w:rsidR="000B3CFD">
                      <w:t>Leitfaden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9375B" w:rsidRPr="008E0904" w:rsidRDefault="0069375B" w:rsidP="0069375B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>
                      <w:rPr>
                        <w:b/>
                      </w:rPr>
                      <w:t>Big fam</w:t>
                    </w:r>
                    <w:r w:rsidR="00550612">
                      <w:rPr>
                        <w:b/>
                      </w:rPr>
                      <w:t>i</w:t>
                    </w:r>
                    <w:r>
                      <w:rPr>
                        <w:b/>
                      </w:rPr>
                      <w:t>ly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69375B" w:rsidRDefault="00550612" w:rsidP="0069375B">
                    <w:pPr>
                      <w:jc w:val="left"/>
                    </w:pPr>
                    <w:r>
                      <w:t>Evolution in der GS, Medieneinsatz im SU</w:t>
                    </w:r>
                  </w:p>
                  <w:p w:rsidR="00550612" w:rsidRDefault="00550612" w:rsidP="0069375B">
                    <w:pPr>
                      <w:jc w:val="left"/>
                    </w:pPr>
                  </w:p>
                  <w:p w:rsidR="00DD40B5" w:rsidRDefault="0069375B" w:rsidP="00A033E2">
                    <w:pPr>
                      <w:jc w:val="left"/>
                    </w:pPr>
                    <w:r>
                      <w:t xml:space="preserve">Literatur: </w:t>
                    </w:r>
                    <w:r w:rsidR="00550612">
                      <w:t>D. Graf, M. Schmidt: Evokids:</w:t>
                    </w:r>
                    <w:r>
                      <w:t xml:space="preserve"> </w:t>
                    </w:r>
                    <w:r w:rsidR="00550612">
                      <w:t>Evolution in der Grundschule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6F2037" w:rsidRPr="008E0904" w:rsidRDefault="006F2037" w:rsidP="006F2037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 w:rsidR="00550612">
                      <w:rPr>
                        <w:b/>
                      </w:rPr>
                      <w:t>Was ist eigentlich politisch im SU?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EE1D78" w:rsidRDefault="00EC35B8" w:rsidP="00EE1D78">
                    <w:pPr>
                      <w:jc w:val="left"/>
                    </w:pPr>
                    <w:r>
                      <w:t>Stationenarbeit zu Bereichen politischen Lernens</w:t>
                    </w:r>
                    <w:r w:rsidR="00EE1D78">
                      <w:t>.</w:t>
                    </w:r>
                  </w:p>
                  <w:p w:rsidR="00DD40B5" w:rsidRDefault="006F2037" w:rsidP="006F2037">
                    <w:pPr>
                      <w:jc w:val="left"/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  <w:r>
                      <w:t xml:space="preserve">Literatur: </w:t>
                    </w:r>
                    <w:r w:rsidR="00EC35B8">
                      <w:t>D. von Reeken: Politisches Lernen im Sachunterricht</w:t>
                    </w:r>
                  </w:p>
                </w:tc>
                <w:tc>
                  <w:tcPr>
                    <w:tcW w:w="1250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C04E9" w:rsidRPr="008E0904" w:rsidRDefault="002C04E9" w:rsidP="002C04E9">
                    <w:pPr>
                      <w:jc w:val="left"/>
                      <w:rPr>
                        <w:b/>
                      </w:rPr>
                    </w:pPr>
                    <w:r w:rsidRPr="008E0904">
                      <w:rPr>
                        <w:b/>
                      </w:rPr>
                      <w:t>„</w:t>
                    </w:r>
                    <w:r w:rsidR="00E432E3">
                      <w:rPr>
                        <w:b/>
                      </w:rPr>
                      <w:t>Präsentieren</w:t>
                    </w:r>
                    <w:r w:rsidRPr="008E0904">
                      <w:rPr>
                        <w:b/>
                      </w:rPr>
                      <w:t>“</w:t>
                    </w:r>
                  </w:p>
                  <w:p w:rsidR="002C04E9" w:rsidRDefault="00E432E3" w:rsidP="002C04E9">
                    <w:pPr>
                      <w:jc w:val="left"/>
                    </w:pPr>
                    <w:r>
                      <w:t>Begriffsbestimmung, Entwicklung von Methodenkompetenz</w:t>
                    </w:r>
                  </w:p>
                  <w:p w:rsidR="00DD40B5" w:rsidRDefault="002C04E9" w:rsidP="002C04E9">
                    <w:pPr>
                      <w:jc w:val="left"/>
                    </w:pPr>
                    <w:r>
                      <w:t xml:space="preserve">Literatur: </w:t>
                    </w:r>
                    <w:r w:rsidR="00E432E3">
                      <w:t>Friedrich Grundschule Sachunterricht: Nr.35 / 2007</w:t>
                    </w:r>
                  </w:p>
                </w:tc>
              </w:tr>
            </w:sdtContent>
          </w:sdt>
        </w:sdtContent>
      </w:sdt>
    </w:tbl>
    <w:p w:rsidR="00390213" w:rsidRDefault="00390213" w:rsidP="00A033E2"/>
    <w:sectPr w:rsidR="00390213" w:rsidSect="002F5FB0">
      <w:footerReference w:type="default" r:id="rId9"/>
      <w:pgSz w:w="16839" w:h="11907" w:orient="landscape" w:code="9"/>
      <w:pgMar w:top="1296" w:right="1008" w:bottom="1296" w:left="86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84" w:rsidRDefault="00427C84">
      <w:pPr>
        <w:spacing w:after="0" w:line="240" w:lineRule="auto"/>
      </w:pPr>
      <w:r>
        <w:separator/>
      </w:r>
    </w:p>
  </w:endnote>
  <w:endnote w:type="continuationSeparator" w:id="0">
    <w:p w:rsidR="00427C84" w:rsidRDefault="0042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13" w:rsidRDefault="001C3672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AB33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84" w:rsidRDefault="00427C84">
      <w:pPr>
        <w:spacing w:after="0" w:line="240" w:lineRule="auto"/>
      </w:pPr>
      <w:r>
        <w:separator/>
      </w:r>
    </w:p>
  </w:footnote>
  <w:footnote w:type="continuationSeparator" w:id="0">
    <w:p w:rsidR="00427C84" w:rsidRDefault="00427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76D"/>
    <w:multiLevelType w:val="hybridMultilevel"/>
    <w:tmpl w:val="606A3A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B0"/>
    <w:rsid w:val="000813A5"/>
    <w:rsid w:val="000B3CFD"/>
    <w:rsid w:val="000D2CB5"/>
    <w:rsid w:val="000D7985"/>
    <w:rsid w:val="001061E0"/>
    <w:rsid w:val="0011130F"/>
    <w:rsid w:val="001C3672"/>
    <w:rsid w:val="002C04E9"/>
    <w:rsid w:val="002F5FB0"/>
    <w:rsid w:val="00356D71"/>
    <w:rsid w:val="00390213"/>
    <w:rsid w:val="00427C84"/>
    <w:rsid w:val="004D1DE2"/>
    <w:rsid w:val="00550612"/>
    <w:rsid w:val="00566B87"/>
    <w:rsid w:val="005717DE"/>
    <w:rsid w:val="0057698F"/>
    <w:rsid w:val="005F329E"/>
    <w:rsid w:val="0069375B"/>
    <w:rsid w:val="006F2037"/>
    <w:rsid w:val="00712D5A"/>
    <w:rsid w:val="00714F6A"/>
    <w:rsid w:val="0088207D"/>
    <w:rsid w:val="008E0904"/>
    <w:rsid w:val="00A033E2"/>
    <w:rsid w:val="00AB33CE"/>
    <w:rsid w:val="00B13C7D"/>
    <w:rsid w:val="00BB5494"/>
    <w:rsid w:val="00CA25D9"/>
    <w:rsid w:val="00CF587D"/>
    <w:rsid w:val="00D65BA7"/>
    <w:rsid w:val="00DD40B5"/>
    <w:rsid w:val="00E432E3"/>
    <w:rsid w:val="00E8436A"/>
    <w:rsid w:val="00EC35B8"/>
    <w:rsid w:val="00EE1D78"/>
    <w:rsid w:val="00F0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0A30"/>
  <w15:chartTrackingRefBased/>
  <w15:docId w15:val="{B052CBCE-E497-4D3A-989A-2810A50E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de-DE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A66AC" w:themeColor="accent1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4A66AC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umZchn">
    <w:name w:val="Datum Zchn"/>
    <w:basedOn w:val="Absatz-Standardschriftart"/>
    <w:link w:val="Datum"/>
    <w:uiPriority w:val="1"/>
    <w:rPr>
      <w:caps/>
      <w:color w:val="000000" w:themeColor="text1"/>
      <w:sz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bottom w:val="thickThinLargeGap" w:sz="12" w:space="5" w:color="4A66AC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A66AC" w:themeColor="accent1"/>
      <w:kern w:val="28"/>
      <w:sz w:val="48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aps/>
      <w:color w:val="4A66AC" w:themeColor="accent1"/>
      <w:kern w:val="28"/>
      <w:sz w:val="48"/>
    </w:rPr>
  </w:style>
  <w:style w:type="paragraph" w:styleId="Untertitel">
    <w:name w:val="Subtitle"/>
    <w:basedOn w:val="Standard"/>
    <w:next w:val="Standard"/>
    <w:link w:val="UntertitelZchn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UntertitelZchn">
    <w:name w:val="Untertitel Zchn"/>
    <w:basedOn w:val="Absatz-Standardschriftart"/>
    <w:link w:val="Untertitel"/>
    <w:uiPriority w:val="1"/>
    <w:rPr>
      <w:caps/>
      <w:color w:val="000000" w:themeColor="text1"/>
      <w:sz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36"/>
    <w:qFormat/>
    <w:pPr>
      <w:spacing w:after="0" w:line="240" w:lineRule="auto"/>
    </w:pPr>
  </w:style>
  <w:style w:type="paragraph" w:customStyle="1" w:styleId="Name">
    <w:name w:val="Name"/>
    <w:basedOn w:val="Standard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AufgabenlisteTabelle">
    <w:name w:val="Aufgabenliste;Tabelle"/>
    <w:basedOn w:val="NormaleTabelle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297FD5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eastAsiaTheme="majorEastAsia" w:hAnsiTheme="majorHAnsi" w:cstheme="majorBidi"/>
      <w:color w:val="4A66AC" w:themeColor="accen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4A66AC" w:themeColor="accent1"/>
      <w:sz w:val="2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CF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\AppData\Roaming\Microsoft\Templates\Aufgabenzuweisungstabel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66C451A01F4C2681EFA0D907DEA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E3344-0929-44D3-952C-0D4CC4AE83AA}"/>
      </w:docPartPr>
      <w:docPartBody>
        <w:p w:rsidR="007A09CC" w:rsidRDefault="00C910CD">
          <w:pPr>
            <w:pStyle w:val="8966C451A01F4C2681EFA0D907DEAA6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3EE43FDDB4EE4C39AA8C3A3C899FC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7658E-FE95-4A0B-9D42-F14FFD746271}"/>
      </w:docPartPr>
      <w:docPartBody>
        <w:p w:rsidR="007A09CC" w:rsidRDefault="00C910CD">
          <w:pPr>
            <w:pStyle w:val="3EE43FDDB4EE4C39AA8C3A3C899FC5AE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EFC8DCBE4B8B4A4BB2EF571465A42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79F69-00BB-415F-966B-CB792D37ED02}"/>
      </w:docPartPr>
      <w:docPartBody>
        <w:p w:rsidR="007A09CC" w:rsidRDefault="00C910CD">
          <w:pPr>
            <w:pStyle w:val="EFC8DCBE4B8B4A4BB2EF571465A427EE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CD"/>
    <w:rsid w:val="00080596"/>
    <w:rsid w:val="000C3151"/>
    <w:rsid w:val="007A09CC"/>
    <w:rsid w:val="007E3275"/>
    <w:rsid w:val="00A41816"/>
    <w:rsid w:val="00C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695B73D21543BCB62F3DE6D85BDBC8">
    <w:name w:val="80695B73D21543BCB62F3DE6D85BDBC8"/>
  </w:style>
  <w:style w:type="paragraph" w:customStyle="1" w:styleId="508DCDB5E23F43F8B25CEDF7FC8C8E8C">
    <w:name w:val="508DCDB5E23F43F8B25CEDF7FC8C8E8C"/>
  </w:style>
  <w:style w:type="paragraph" w:customStyle="1" w:styleId="7C8ACEC3926045498C2737B7D8901647">
    <w:name w:val="7C8ACEC3926045498C2737B7D8901647"/>
  </w:style>
  <w:style w:type="paragraph" w:customStyle="1" w:styleId="1651C271B13C460BA30A1D5C6E47AB09">
    <w:name w:val="1651C271B13C460BA30A1D5C6E47AB09"/>
  </w:style>
  <w:style w:type="paragraph" w:customStyle="1" w:styleId="D26F694C08C54782BF71BA34F7DC7327">
    <w:name w:val="D26F694C08C54782BF71BA34F7DC7327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966C451A01F4C2681EFA0D907DEAA60">
    <w:name w:val="8966C451A01F4C2681EFA0D907DEAA60"/>
  </w:style>
  <w:style w:type="paragraph" w:customStyle="1" w:styleId="FD97EB050C254BAF8CB66B575EC6470A">
    <w:name w:val="FD97EB050C254BAF8CB66B575EC6470A"/>
  </w:style>
  <w:style w:type="paragraph" w:customStyle="1" w:styleId="3EE43FDDB4EE4C39AA8C3A3C899FC5AE">
    <w:name w:val="3EE43FDDB4EE4C39AA8C3A3C899FC5AE"/>
  </w:style>
  <w:style w:type="paragraph" w:customStyle="1" w:styleId="B1B462207714488D970E3857E9656ADE">
    <w:name w:val="B1B462207714488D970E3857E9656ADE"/>
  </w:style>
  <w:style w:type="paragraph" w:customStyle="1" w:styleId="EFC8DCBE4B8B4A4BB2EF571465A427EE">
    <w:name w:val="EFC8DCBE4B8B4A4BB2EF571465A427EE"/>
  </w:style>
  <w:style w:type="paragraph" w:customStyle="1" w:styleId="A2CC3CA86A6D4083B6F4F7F328218816">
    <w:name w:val="A2CC3CA86A6D4083B6F4F7F328218816"/>
  </w:style>
  <w:style w:type="paragraph" w:customStyle="1" w:styleId="E90EC0A462E74F55BA6F0B7E9F713410">
    <w:name w:val="E90EC0A462E74F55BA6F0B7E9F713410"/>
  </w:style>
  <w:style w:type="paragraph" w:customStyle="1" w:styleId="9F6C2212B1394D05A9D59E69D694B1A9">
    <w:name w:val="9F6C2212B1394D05A9D59E69D694B1A9"/>
  </w:style>
  <w:style w:type="paragraph" w:customStyle="1" w:styleId="9C3E7A1AAB5248E1928262A34411F869">
    <w:name w:val="9C3E7A1AAB5248E1928262A34411F869"/>
  </w:style>
  <w:style w:type="paragraph" w:customStyle="1" w:styleId="DFAA360B0E1F44B98CADEE1211038619">
    <w:name w:val="DFAA360B0E1F44B98CADEE1211038619"/>
  </w:style>
  <w:style w:type="paragraph" w:customStyle="1" w:styleId="E7F8625F1DB24A359CE2527C7EE155EB">
    <w:name w:val="E7F8625F1DB24A359CE2527C7EE155EB"/>
  </w:style>
  <w:style w:type="paragraph" w:customStyle="1" w:styleId="BB596334E6904E51A96433E7AA493D98">
    <w:name w:val="BB596334E6904E51A96433E7AA493D98"/>
  </w:style>
  <w:style w:type="paragraph" w:customStyle="1" w:styleId="1B98B65357FF4C10B33AC7D0D5D6D871">
    <w:name w:val="1B98B65357FF4C10B33AC7D0D5D6D871"/>
  </w:style>
  <w:style w:type="paragraph" w:customStyle="1" w:styleId="2E4F1EC5309643BA80F43799C62B62C9">
    <w:name w:val="2E4F1EC5309643BA80F43799C62B62C9"/>
  </w:style>
  <w:style w:type="paragraph" w:customStyle="1" w:styleId="CE89B7D69AFB4E968CCF8E676309609E">
    <w:name w:val="CE89B7D69AFB4E968CCF8E676309609E"/>
  </w:style>
  <w:style w:type="paragraph" w:customStyle="1" w:styleId="3967F0CD391C4F07BB414A6DC3FA001F">
    <w:name w:val="3967F0CD391C4F07BB414A6DC3FA001F"/>
  </w:style>
  <w:style w:type="paragraph" w:customStyle="1" w:styleId="D4E6EF807C7647C89A956ACAF35EE549">
    <w:name w:val="D4E6EF807C7647C89A956ACAF35EE549"/>
  </w:style>
  <w:style w:type="paragraph" w:customStyle="1" w:styleId="8B3F171588544EE7935DD02C6DDEC93C">
    <w:name w:val="8B3F171588544EE7935DD02C6DDEC93C"/>
  </w:style>
  <w:style w:type="paragraph" w:customStyle="1" w:styleId="DA41CBEF32F4405CB2258304289B3168">
    <w:name w:val="DA41CBEF32F4405CB2258304289B3168"/>
  </w:style>
  <w:style w:type="paragraph" w:customStyle="1" w:styleId="0D4E1162306D4548A8FD06065DC8ABBB">
    <w:name w:val="0D4E1162306D4548A8FD06065DC8A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B7D2-A765-4579-80E9-F19692AD5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B6E67-5056-4CB4-9554-C4C7DB3D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Aufgabenzuweisungstabelle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Jürgen Böhner</dc:creator>
  <cp:keywords/>
  <cp:lastModifiedBy>Jürgen Böhner</cp:lastModifiedBy>
  <cp:revision>11</cp:revision>
  <cp:lastPrinted>2017-01-20T11:23:00Z</cp:lastPrinted>
  <dcterms:created xsi:type="dcterms:W3CDTF">2017-01-20T07:52:00Z</dcterms:created>
  <dcterms:modified xsi:type="dcterms:W3CDTF">2017-01-23T13:33:00Z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TC029193129991</vt:lpwstr>
  </property>
</Properties>
</file>