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37" w:rsidRDefault="004B4AC0" w:rsidP="002B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4B4AC0">
        <w:rPr>
          <w:sz w:val="28"/>
          <w:szCs w:val="28"/>
        </w:rPr>
        <w:t xml:space="preserve">Modul  „Diversität in Lehr- und Lernprozessen nutzen“ </w:t>
      </w:r>
      <w:r>
        <w:rPr>
          <w:sz w:val="32"/>
          <w:szCs w:val="32"/>
        </w:rPr>
        <w:t xml:space="preserve">                                                                               </w:t>
      </w:r>
      <w:r>
        <w:rPr>
          <w:sz w:val="24"/>
          <w:szCs w:val="24"/>
        </w:rPr>
        <w:t>Literaturempfehlungen unter</w:t>
      </w:r>
      <w:r w:rsidR="00080921">
        <w:rPr>
          <w:sz w:val="24"/>
          <w:szCs w:val="24"/>
        </w:rPr>
        <w:t xml:space="preserve"> besonderer</w:t>
      </w:r>
      <w:r>
        <w:rPr>
          <w:sz w:val="24"/>
          <w:szCs w:val="24"/>
        </w:rPr>
        <w:t xml:space="preserve"> Berücksichtigung der Kernidee</w:t>
      </w:r>
      <w:r w:rsidR="00263361">
        <w:rPr>
          <w:sz w:val="24"/>
          <w:szCs w:val="24"/>
        </w:rPr>
        <w:t xml:space="preserve">                                                         </w:t>
      </w:r>
      <w:r w:rsidR="00263361" w:rsidRPr="006C4E29">
        <w:rPr>
          <w:sz w:val="24"/>
          <w:szCs w:val="24"/>
        </w:rPr>
        <w:t>„ Diversität im</w:t>
      </w:r>
      <w:r w:rsidR="00263361" w:rsidRPr="004B4AC0">
        <w:rPr>
          <w:b/>
          <w:sz w:val="24"/>
          <w:szCs w:val="24"/>
        </w:rPr>
        <w:t xml:space="preserve"> Dialog </w:t>
      </w:r>
      <w:r w:rsidR="00263361" w:rsidRPr="006C4E29">
        <w:rPr>
          <w:sz w:val="24"/>
          <w:szCs w:val="24"/>
        </w:rPr>
        <w:t>sichtbar machen und nutzen“</w:t>
      </w:r>
      <w:r w:rsidRPr="004B4AC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044B13">
        <w:rPr>
          <w:sz w:val="24"/>
          <w:szCs w:val="24"/>
        </w:rPr>
        <w:t xml:space="preserve">                          </w:t>
      </w:r>
      <w:r w:rsidRPr="004B4AC0">
        <w:rPr>
          <w:sz w:val="18"/>
          <w:szCs w:val="18"/>
        </w:rPr>
        <w:t>Studienseminar Han</w:t>
      </w:r>
      <w:r>
        <w:rPr>
          <w:sz w:val="18"/>
          <w:szCs w:val="18"/>
        </w:rPr>
        <w:t>au GHRF, März 2015</w:t>
      </w:r>
    </w:p>
    <w:p w:rsidR="002B6B37" w:rsidRPr="002B6B37" w:rsidRDefault="002B6B37" w:rsidP="002B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cs="Arial"/>
          <w:b/>
          <w:bCs/>
          <w:i/>
          <w:sz w:val="22"/>
          <w:szCs w:val="22"/>
        </w:rPr>
        <w:t xml:space="preserve">Diese Bücher und Zeitschriften sind  grundsätzlich in der Bücherei des Studienseminars </w:t>
      </w:r>
      <w:proofErr w:type="spellStart"/>
      <w:r>
        <w:rPr>
          <w:rFonts w:cs="Arial"/>
          <w:b/>
          <w:bCs/>
          <w:i/>
          <w:sz w:val="22"/>
          <w:szCs w:val="22"/>
        </w:rPr>
        <w:t>einseh</w:t>
      </w:r>
      <w:proofErr w:type="spellEnd"/>
      <w:r>
        <w:rPr>
          <w:rFonts w:cs="Arial"/>
          <w:b/>
          <w:bCs/>
          <w:i/>
          <w:sz w:val="22"/>
          <w:szCs w:val="22"/>
        </w:rPr>
        <w:t xml:space="preserve">- und </w:t>
      </w:r>
      <w:proofErr w:type="spellStart"/>
      <w:r>
        <w:rPr>
          <w:rFonts w:cs="Arial"/>
          <w:b/>
          <w:bCs/>
          <w:i/>
          <w:sz w:val="22"/>
          <w:szCs w:val="22"/>
        </w:rPr>
        <w:t>ausleihbar</w:t>
      </w:r>
      <w:proofErr w:type="spellEnd"/>
      <w:r>
        <w:rPr>
          <w:rFonts w:cs="Arial"/>
          <w:b/>
          <w:bCs/>
          <w:i/>
          <w:sz w:val="22"/>
          <w:szCs w:val="22"/>
        </w:rPr>
        <w:t xml:space="preserve">.   </w:t>
      </w:r>
    </w:p>
    <w:p w:rsidR="00263361" w:rsidRPr="00080921" w:rsidRDefault="002B6B37" w:rsidP="00044B13">
      <w:pPr>
        <w:pStyle w:val="Listenabsatz1"/>
        <w:tabs>
          <w:tab w:val="left" w:pos="426"/>
        </w:tabs>
        <w:suppressAutoHyphens/>
        <w:snapToGrid w:val="0"/>
        <w:spacing w:line="360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   </w:t>
      </w:r>
      <w:r w:rsidR="00080921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263361" w:rsidRPr="00080921">
        <w:rPr>
          <w:rFonts w:asciiTheme="minorHAnsi" w:hAnsiTheme="minorHAnsi" w:cs="Arial"/>
          <w:b/>
          <w:bCs/>
          <w:sz w:val="22"/>
          <w:szCs w:val="22"/>
          <w:u w:val="single"/>
        </w:rPr>
        <w:t>Bücher</w:t>
      </w:r>
    </w:p>
    <w:p w:rsidR="004B4AC0" w:rsidRPr="00080921" w:rsidRDefault="008A0CCB" w:rsidP="00080921">
      <w:pPr>
        <w:pStyle w:val="Listenabsatz1"/>
        <w:numPr>
          <w:ilvl w:val="0"/>
          <w:numId w:val="1"/>
        </w:numPr>
        <w:tabs>
          <w:tab w:val="left" w:pos="426"/>
        </w:tabs>
        <w:suppressAutoHyphens/>
        <w:snapToGrid w:val="0"/>
        <w:spacing w:line="360" w:lineRule="auto"/>
        <w:jc w:val="left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Bartnitzky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, H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.</w:t>
      </w:r>
      <w:r w:rsidR="002B6B37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:</w:t>
      </w:r>
      <w:proofErr w:type="gramEnd"/>
      <w:r w:rsidR="004B4AC0" w:rsidRPr="004B4AC0">
        <w:rPr>
          <w:rFonts w:asciiTheme="minorHAnsi" w:hAnsiTheme="minorHAnsi" w:cs="Arial"/>
          <w:bCs/>
          <w:sz w:val="22"/>
          <w:szCs w:val="22"/>
        </w:rPr>
        <w:t xml:space="preserve"> Hecker, U. (Hrsg.): Allen Kindern gerecht werden. Aufgaben und Wege. Frankfurt 2010 (Beiträge zur Reform der Grundschule Bd. 129)</w:t>
      </w:r>
    </w:p>
    <w:p w:rsidR="00263361" w:rsidRPr="004B4AC0" w:rsidRDefault="00263361" w:rsidP="0098602D">
      <w:pPr>
        <w:pStyle w:val="Listenabsatz1"/>
        <w:numPr>
          <w:ilvl w:val="0"/>
          <w:numId w:val="1"/>
        </w:numPr>
        <w:tabs>
          <w:tab w:val="left" w:pos="426"/>
        </w:tabs>
        <w:suppressAutoHyphens/>
        <w:snapToGrid w:val="0"/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4B4AC0">
        <w:rPr>
          <w:rFonts w:asciiTheme="minorHAnsi" w:hAnsiTheme="minorHAnsi"/>
          <w:sz w:val="22"/>
          <w:szCs w:val="22"/>
        </w:rPr>
        <w:t>Brunner, Ilse, u.a. : Das Handbuch Portfolioarbeit, Seelze 2006</w:t>
      </w:r>
    </w:p>
    <w:p w:rsidR="00AC4577" w:rsidRPr="00080921" w:rsidRDefault="004B4AC0" w:rsidP="00080921">
      <w:pPr>
        <w:pStyle w:val="Listenabsatz1"/>
        <w:numPr>
          <w:ilvl w:val="0"/>
          <w:numId w:val="1"/>
        </w:numPr>
        <w:tabs>
          <w:tab w:val="left" w:pos="426"/>
        </w:tabs>
        <w:suppressAutoHyphens/>
        <w:snapToGrid w:val="0"/>
        <w:spacing w:line="360" w:lineRule="auto"/>
        <w:jc w:val="left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4B4AC0">
        <w:rPr>
          <w:rFonts w:asciiTheme="minorHAnsi" w:hAnsiTheme="minorHAnsi" w:cs="Arial"/>
          <w:bCs/>
          <w:sz w:val="22"/>
          <w:szCs w:val="22"/>
        </w:rPr>
        <w:t>Buholzer</w:t>
      </w:r>
      <w:proofErr w:type="spellEnd"/>
      <w:r w:rsidRPr="004B4AC0">
        <w:rPr>
          <w:rFonts w:asciiTheme="minorHAnsi" w:hAnsiTheme="minorHAnsi" w:cs="Arial"/>
          <w:bCs/>
          <w:sz w:val="22"/>
          <w:szCs w:val="22"/>
        </w:rPr>
        <w:t>, A. u.a. (Hrsg.): Alle gleich – alle unterschiedlich. Zum Umgang mit Heterogenität  in Schule und Unterricht,  Weinheim 2010</w:t>
      </w:r>
    </w:p>
    <w:p w:rsidR="00AC4577" w:rsidRPr="004B4AC0" w:rsidRDefault="00AC4577" w:rsidP="0098602D">
      <w:pPr>
        <w:pStyle w:val="Listenabsatz1"/>
        <w:numPr>
          <w:ilvl w:val="0"/>
          <w:numId w:val="1"/>
        </w:numPr>
        <w:tabs>
          <w:tab w:val="left" w:pos="426"/>
        </w:tabs>
        <w:suppressAutoHyphens/>
        <w:snapToGrid w:val="0"/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4B4AC0">
        <w:rPr>
          <w:rFonts w:asciiTheme="minorHAnsi" w:hAnsiTheme="minorHAnsi"/>
          <w:sz w:val="22"/>
          <w:szCs w:val="22"/>
        </w:rPr>
        <w:t>Eller, U./ Greco, L. Grimm, W.: Praxisbuch Individuelles Lernen, Weinheim 2012</w:t>
      </w:r>
    </w:p>
    <w:p w:rsidR="00AC4577" w:rsidRDefault="00AC4577" w:rsidP="0098602D">
      <w:pPr>
        <w:pStyle w:val="Listenabsatz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proofErr w:type="spellStart"/>
      <w:r w:rsidRPr="006C4E29">
        <w:rPr>
          <w:sz w:val="22"/>
          <w:szCs w:val="22"/>
        </w:rPr>
        <w:t>Gallin</w:t>
      </w:r>
      <w:proofErr w:type="spellEnd"/>
      <w:r w:rsidRPr="006C4E29">
        <w:rPr>
          <w:sz w:val="22"/>
          <w:szCs w:val="22"/>
        </w:rPr>
        <w:t>, P./ Ruf, U.: Dialogisches Lernen in Sprache und Mathematik, Seelze 1998  </w:t>
      </w:r>
      <w:r>
        <w:rPr>
          <w:sz w:val="22"/>
          <w:szCs w:val="22"/>
        </w:rPr>
        <w:t xml:space="preserve">    </w:t>
      </w:r>
    </w:p>
    <w:p w:rsidR="00AC4577" w:rsidRPr="00AC4577" w:rsidRDefault="004B4AC0" w:rsidP="0098602D">
      <w:pPr>
        <w:pStyle w:val="Listenabsatz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AC4577">
        <w:rPr>
          <w:rFonts w:cs="Arial"/>
          <w:bCs/>
          <w:sz w:val="22"/>
          <w:szCs w:val="22"/>
        </w:rPr>
        <w:t>Groeben, A.</w:t>
      </w:r>
      <w:r w:rsidR="006C4E29" w:rsidRPr="00AC4577">
        <w:rPr>
          <w:rFonts w:cs="Arial"/>
          <w:bCs/>
          <w:sz w:val="22"/>
          <w:szCs w:val="22"/>
        </w:rPr>
        <w:t>,</w:t>
      </w:r>
      <w:r w:rsidR="00080921">
        <w:rPr>
          <w:rFonts w:cs="Arial"/>
          <w:bCs/>
          <w:sz w:val="22"/>
          <w:szCs w:val="22"/>
        </w:rPr>
        <w:t xml:space="preserve"> </w:t>
      </w:r>
      <w:r w:rsidRPr="00AC4577">
        <w:rPr>
          <w:rFonts w:cs="Arial"/>
          <w:bCs/>
          <w:sz w:val="22"/>
          <w:szCs w:val="22"/>
        </w:rPr>
        <w:t>v.</w:t>
      </w:r>
      <w:r w:rsidR="00080921">
        <w:rPr>
          <w:rFonts w:cs="Arial"/>
          <w:bCs/>
          <w:sz w:val="22"/>
          <w:szCs w:val="22"/>
        </w:rPr>
        <w:t xml:space="preserve"> </w:t>
      </w:r>
      <w:proofErr w:type="gramStart"/>
      <w:r w:rsidRPr="00AC4577">
        <w:rPr>
          <w:rFonts w:cs="Arial"/>
          <w:bCs/>
          <w:sz w:val="22"/>
          <w:szCs w:val="22"/>
        </w:rPr>
        <w:t>d.:</w:t>
      </w:r>
      <w:proofErr w:type="gramEnd"/>
      <w:r w:rsidRPr="00AC4577">
        <w:rPr>
          <w:rFonts w:cs="Arial"/>
          <w:bCs/>
          <w:sz w:val="22"/>
          <w:szCs w:val="22"/>
        </w:rPr>
        <w:t xml:space="preserve"> Verschiedenheit nutzen. Besser lernen in heterogenen Gruppen. Berlin 2008</w:t>
      </w:r>
    </w:p>
    <w:p w:rsidR="004B4AC0" w:rsidRPr="00AC4577" w:rsidRDefault="00263361" w:rsidP="0098602D">
      <w:pPr>
        <w:pStyle w:val="Listenabsatz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AC4577">
        <w:rPr>
          <w:rFonts w:cs="Arial"/>
          <w:bCs/>
          <w:sz w:val="22"/>
          <w:szCs w:val="22"/>
        </w:rPr>
        <w:t>Kress, Karin: Dynamik in heterogenen Klassen – Das Praxisbuch, Donauwörth 2014</w:t>
      </w:r>
    </w:p>
    <w:p w:rsidR="002B6B37" w:rsidRDefault="004B4AC0" w:rsidP="00080921">
      <w:pPr>
        <w:pStyle w:val="Listenabsatz"/>
        <w:numPr>
          <w:ilvl w:val="0"/>
          <w:numId w:val="1"/>
        </w:numPr>
        <w:spacing w:line="360" w:lineRule="auto"/>
        <w:jc w:val="left"/>
      </w:pPr>
      <w:r w:rsidRPr="004B4AC0">
        <w:rPr>
          <w:sz w:val="22"/>
          <w:szCs w:val="22"/>
        </w:rPr>
        <w:t>Potthoff, U. , u.a.: Gespräche mit Kindern, Berlin 2008</w:t>
      </w:r>
      <w:r w:rsidR="006C4E29">
        <w:t xml:space="preserve">  </w:t>
      </w:r>
    </w:p>
    <w:p w:rsidR="00044B13" w:rsidRPr="002B6B37" w:rsidRDefault="002B6B37" w:rsidP="002B6B37">
      <w:pPr>
        <w:pStyle w:val="Listenabsatz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Wilkening, Monika: S</w:t>
      </w:r>
      <w:r w:rsidRPr="002B6B37">
        <w:rPr>
          <w:sz w:val="24"/>
          <w:szCs w:val="24"/>
        </w:rPr>
        <w:t>elbst- und Partnerevaluation unter Schülern. Lernwege individualisieren –</w:t>
      </w:r>
      <w:r>
        <w:rPr>
          <w:sz w:val="24"/>
          <w:szCs w:val="24"/>
        </w:rPr>
        <w:t xml:space="preserve"> Kompetenz</w:t>
      </w:r>
      <w:r w:rsidRPr="002B6B37">
        <w:rPr>
          <w:sz w:val="24"/>
          <w:szCs w:val="24"/>
        </w:rPr>
        <w:t>en stärken</w:t>
      </w:r>
      <w:r>
        <w:rPr>
          <w:sz w:val="24"/>
          <w:szCs w:val="24"/>
        </w:rPr>
        <w:t>, Weinheim 2013</w:t>
      </w:r>
      <w:r w:rsidR="006C4E29" w:rsidRPr="002B6B37">
        <w:rPr>
          <w:sz w:val="24"/>
          <w:szCs w:val="24"/>
        </w:rPr>
        <w:t xml:space="preserve">     </w:t>
      </w:r>
      <w:r w:rsidR="006C4E29">
        <w:t xml:space="preserve">                                                             </w:t>
      </w:r>
    </w:p>
    <w:p w:rsidR="00044B13" w:rsidRPr="00044B13" w:rsidRDefault="00263361" w:rsidP="0098602D">
      <w:pPr>
        <w:pStyle w:val="Listenabsatz"/>
        <w:spacing w:line="360" w:lineRule="auto"/>
        <w:ind w:left="360"/>
        <w:jc w:val="left"/>
        <w:rPr>
          <w:b/>
          <w:sz w:val="22"/>
          <w:szCs w:val="22"/>
          <w:u w:val="single"/>
        </w:rPr>
      </w:pPr>
      <w:r w:rsidRPr="00044B13">
        <w:rPr>
          <w:b/>
          <w:sz w:val="22"/>
          <w:szCs w:val="22"/>
          <w:u w:val="single"/>
        </w:rPr>
        <w:t>Zeitschriften:</w:t>
      </w:r>
    </w:p>
    <w:p w:rsidR="00044B13" w:rsidRDefault="00263361" w:rsidP="0098602D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bCs/>
          <w:sz w:val="22"/>
          <w:szCs w:val="22"/>
        </w:rPr>
      </w:pPr>
      <w:r w:rsidRPr="004B4AC0">
        <w:rPr>
          <w:rFonts w:cs="Arial"/>
          <w:bCs/>
          <w:sz w:val="22"/>
          <w:szCs w:val="22"/>
        </w:rPr>
        <w:t>Friedrich Jah</w:t>
      </w:r>
      <w:r w:rsidR="006C4E29">
        <w:rPr>
          <w:rFonts w:cs="Arial"/>
          <w:bCs/>
          <w:sz w:val="22"/>
          <w:szCs w:val="22"/>
        </w:rPr>
        <w:t>resheft 2004: Heterogenität,</w:t>
      </w:r>
      <w:r w:rsidRPr="004B4AC0">
        <w:rPr>
          <w:rFonts w:cs="Arial"/>
          <w:bCs/>
          <w:sz w:val="22"/>
          <w:szCs w:val="22"/>
        </w:rPr>
        <w:t xml:space="preserve"> Seelze 2004</w:t>
      </w:r>
    </w:p>
    <w:p w:rsidR="00044B13" w:rsidRDefault="00263361" w:rsidP="0098602D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bCs/>
          <w:sz w:val="22"/>
          <w:szCs w:val="22"/>
        </w:rPr>
      </w:pPr>
      <w:r w:rsidRPr="00044B13">
        <w:rPr>
          <w:rFonts w:cs="Arial"/>
          <w:bCs/>
          <w:sz w:val="22"/>
          <w:szCs w:val="22"/>
        </w:rPr>
        <w:t>Friedrich Jahresheft 2006: Diagnostizieren und fördern. Stärken</w:t>
      </w:r>
      <w:r w:rsidR="006C4E29" w:rsidRPr="00044B13">
        <w:rPr>
          <w:rFonts w:cs="Arial"/>
          <w:bCs/>
          <w:sz w:val="22"/>
          <w:szCs w:val="22"/>
        </w:rPr>
        <w:t xml:space="preserve"> entdecken – Können entwickeln,</w:t>
      </w:r>
      <w:r w:rsidR="00044B13" w:rsidRPr="00044B13">
        <w:rPr>
          <w:rFonts w:cs="Arial"/>
          <w:bCs/>
          <w:sz w:val="22"/>
          <w:szCs w:val="22"/>
        </w:rPr>
        <w:t xml:space="preserve"> </w:t>
      </w:r>
      <w:r w:rsidRPr="00044B13">
        <w:rPr>
          <w:rFonts w:cs="Arial"/>
          <w:bCs/>
          <w:sz w:val="22"/>
          <w:szCs w:val="22"/>
        </w:rPr>
        <w:t>Seelze 2006</w:t>
      </w:r>
    </w:p>
    <w:p w:rsidR="00263361" w:rsidRPr="00044B13" w:rsidRDefault="00263361" w:rsidP="0098602D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bCs/>
          <w:sz w:val="22"/>
          <w:szCs w:val="22"/>
        </w:rPr>
      </w:pPr>
      <w:r w:rsidRPr="00044B13">
        <w:rPr>
          <w:rFonts w:cs="Arial"/>
          <w:bCs/>
          <w:sz w:val="22"/>
          <w:szCs w:val="22"/>
        </w:rPr>
        <w:t xml:space="preserve">Friedrich Jahresheft 2008: Individuell lernen – kooperativ </w:t>
      </w:r>
      <w:r w:rsidR="006C4E29" w:rsidRPr="00044B13">
        <w:rPr>
          <w:rFonts w:cs="Arial"/>
          <w:bCs/>
          <w:sz w:val="22"/>
          <w:szCs w:val="22"/>
        </w:rPr>
        <w:t>arbeiten,</w:t>
      </w:r>
      <w:r w:rsidRPr="00044B13">
        <w:rPr>
          <w:rFonts w:cs="Arial"/>
          <w:bCs/>
          <w:sz w:val="22"/>
          <w:szCs w:val="22"/>
        </w:rPr>
        <w:t xml:space="preserve"> Seelze  2008</w:t>
      </w:r>
      <w:r w:rsidRPr="00263361">
        <w:t xml:space="preserve"> </w:t>
      </w:r>
    </w:p>
    <w:p w:rsidR="00263361" w:rsidRPr="006C4E29" w:rsidRDefault="00263361" w:rsidP="0098602D">
      <w:pPr>
        <w:pStyle w:val="Listenabsatz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6C4E29">
        <w:rPr>
          <w:sz w:val="22"/>
          <w:szCs w:val="22"/>
        </w:rPr>
        <w:t>PÄDAGOGIK  2’11: Schüler beim Lernen beraten, Weinheim 2011</w:t>
      </w:r>
    </w:p>
    <w:p w:rsidR="00080921" w:rsidRPr="002B6B37" w:rsidRDefault="00263361" w:rsidP="002B6B37">
      <w:pPr>
        <w:pStyle w:val="Listenabsatz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6C4E29">
        <w:rPr>
          <w:sz w:val="22"/>
          <w:szCs w:val="22"/>
        </w:rPr>
        <w:t>PÄDAGOGIK 4’14: Feedback im Unterricht, Weinheim 2014</w:t>
      </w:r>
    </w:p>
    <w:p w:rsidR="00044B13" w:rsidRDefault="00044B13" w:rsidP="0098602D">
      <w:pPr>
        <w:pStyle w:val="Listenabsatz"/>
        <w:spacing w:line="360" w:lineRule="auto"/>
        <w:ind w:left="36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Internetadressen</w:t>
      </w:r>
    </w:p>
    <w:p w:rsidR="00AC4577" w:rsidRPr="00AC4577" w:rsidRDefault="00CA5AF2" w:rsidP="0098602D">
      <w:pPr>
        <w:pStyle w:val="Listenabsatz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  <w:u w:val="single"/>
        </w:rPr>
      </w:pPr>
      <w:hyperlink r:id="rId5" w:history="1">
        <w:r w:rsidR="004B4AC0" w:rsidRPr="00044B13">
          <w:rPr>
            <w:rStyle w:val="Hyperlink"/>
            <w:rFonts w:asciiTheme="minorHAnsi" w:hAnsiTheme="minorHAnsi" w:cs="Calibri"/>
            <w:sz w:val="22"/>
            <w:szCs w:val="22"/>
          </w:rPr>
          <w:t>www.bartnitzky-burg.de/Handout_Lerntagebuecher_und_Portfolio.pdf</w:t>
        </w:r>
      </w:hyperlink>
    </w:p>
    <w:p w:rsidR="00AC4577" w:rsidRPr="00AC4577" w:rsidRDefault="00CA5AF2" w:rsidP="0098602D">
      <w:pPr>
        <w:pStyle w:val="Listenabsatz"/>
        <w:numPr>
          <w:ilvl w:val="0"/>
          <w:numId w:val="1"/>
        </w:numPr>
        <w:spacing w:line="360" w:lineRule="auto"/>
        <w:jc w:val="left"/>
        <w:rPr>
          <w:rStyle w:val="Hyperlink"/>
          <w:rFonts w:asciiTheme="minorHAnsi" w:hAnsiTheme="minorHAnsi" w:cstheme="minorBidi"/>
          <w:b/>
          <w:color w:val="auto"/>
          <w:sz w:val="22"/>
          <w:szCs w:val="22"/>
        </w:rPr>
      </w:pPr>
      <w:hyperlink r:id="rId6" w:history="1">
        <w:r w:rsidR="004B4AC0" w:rsidRPr="00AC4577">
          <w:rPr>
            <w:rStyle w:val="Hyperlink"/>
            <w:rFonts w:asciiTheme="minorHAnsi" w:hAnsiTheme="minorHAnsi" w:cs="Calibri"/>
            <w:sz w:val="22"/>
            <w:szCs w:val="22"/>
          </w:rPr>
          <w:t>http://www.inklusion-online.net/index.php/inklusion-online</w:t>
        </w:r>
      </w:hyperlink>
    </w:p>
    <w:p w:rsidR="00044B13" w:rsidRPr="00AC4577" w:rsidRDefault="00044B13" w:rsidP="0098602D">
      <w:pPr>
        <w:pStyle w:val="Listenabsatz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  <w:u w:val="single"/>
        </w:rPr>
      </w:pPr>
      <w:r w:rsidRPr="00AC4577">
        <w:rPr>
          <w:rFonts w:cs="Arial"/>
          <w:sz w:val="23"/>
          <w:szCs w:val="23"/>
        </w:rPr>
        <w:t xml:space="preserve"> </w:t>
      </w:r>
      <w:hyperlink r:id="rId7" w:history="1">
        <w:r w:rsidRPr="00AC4577">
          <w:rPr>
            <w:rStyle w:val="Hyperlink"/>
            <w:rFonts w:ascii="Calibri" w:hAnsi="Calibri"/>
            <w:color w:val="0563C1"/>
            <w:sz w:val="22"/>
            <w:szCs w:val="22"/>
          </w:rPr>
          <w:t>http://www.schulentwicklung.nrw.de/cms/kompass/kompetenzorientierter-unterricht-deutsch/lehrtaetigkeiten/lerngespraeche-fuehren/lerngespraeche-fuehren-und-feedback-geben.html</w:t>
        </w:r>
      </w:hyperlink>
    </w:p>
    <w:p w:rsidR="00263361" w:rsidRPr="00263361" w:rsidRDefault="00263361" w:rsidP="0098602D">
      <w:pPr>
        <w:pStyle w:val="Listenabsatz"/>
        <w:ind w:left="360"/>
        <w:jc w:val="left"/>
        <w:rPr>
          <w:rFonts w:cs="TimesNewRoman"/>
          <w:color w:val="0000FF"/>
          <w:sz w:val="22"/>
          <w:szCs w:val="22"/>
          <w:lang w:eastAsia="de-DE"/>
        </w:rPr>
      </w:pPr>
      <w:bookmarkStart w:id="0" w:name="_GoBack"/>
      <w:bookmarkEnd w:id="0"/>
    </w:p>
    <w:p w:rsidR="004B4AC0" w:rsidRDefault="004B4AC0" w:rsidP="0098602D">
      <w:pPr>
        <w:jc w:val="left"/>
        <w:rPr>
          <w:sz w:val="24"/>
        </w:rPr>
      </w:pPr>
    </w:p>
    <w:p w:rsidR="004B4AC0" w:rsidRDefault="004B4AC0" w:rsidP="004B4AC0">
      <w:pPr>
        <w:rPr>
          <w:sz w:val="24"/>
        </w:rPr>
      </w:pPr>
    </w:p>
    <w:p w:rsidR="004B4AC0" w:rsidRDefault="004B4AC0" w:rsidP="004B4AC0">
      <w:pPr>
        <w:rPr>
          <w:sz w:val="24"/>
        </w:rPr>
      </w:pPr>
    </w:p>
    <w:p w:rsidR="004B4AC0" w:rsidRDefault="004B4AC0" w:rsidP="004B4AC0">
      <w:pPr>
        <w:rPr>
          <w:sz w:val="22"/>
        </w:rPr>
      </w:pPr>
    </w:p>
    <w:p w:rsidR="004B4AC0" w:rsidRDefault="004B4AC0" w:rsidP="004B4AC0"/>
    <w:p w:rsidR="000C4F14" w:rsidRDefault="000E7665"/>
    <w:sectPr w:rsidR="000C4F14" w:rsidSect="00CA5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BJS">
    <w:altName w:val="SenBJ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C05"/>
    <w:multiLevelType w:val="hybridMultilevel"/>
    <w:tmpl w:val="D1E840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B4AC0"/>
    <w:rsid w:val="00044B13"/>
    <w:rsid w:val="00080921"/>
    <w:rsid w:val="000E7665"/>
    <w:rsid w:val="00263361"/>
    <w:rsid w:val="002B6B37"/>
    <w:rsid w:val="004B4AC0"/>
    <w:rsid w:val="006C4E29"/>
    <w:rsid w:val="008A0CCB"/>
    <w:rsid w:val="00971365"/>
    <w:rsid w:val="0098602D"/>
    <w:rsid w:val="00AC4577"/>
    <w:rsid w:val="00C0703A"/>
    <w:rsid w:val="00CA5AF2"/>
    <w:rsid w:val="00F0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E29"/>
  </w:style>
  <w:style w:type="paragraph" w:styleId="berschrift1">
    <w:name w:val="heading 1"/>
    <w:basedOn w:val="Standard"/>
    <w:next w:val="Standard"/>
    <w:link w:val="berschrift1Zchn"/>
    <w:uiPriority w:val="9"/>
    <w:qFormat/>
    <w:rsid w:val="006C4E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C4E2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4E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C4E2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4E2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4E2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4E2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4E2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4E2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AC0"/>
    <w:rPr>
      <w:rFonts w:ascii="Times New Roman" w:hAnsi="Times New Roman" w:cs="Times New Roman" w:hint="default"/>
      <w:color w:val="0000FF"/>
      <w:u w:val="single"/>
    </w:rPr>
  </w:style>
  <w:style w:type="character" w:styleId="HTMLZitat">
    <w:name w:val="HTML Cite"/>
    <w:uiPriority w:val="99"/>
    <w:semiHidden/>
    <w:unhideWhenUsed/>
    <w:rsid w:val="004B4AC0"/>
    <w:rPr>
      <w:rFonts w:ascii="Times New Roman" w:hAnsi="Times New Roman" w:cs="Times New Roman" w:hint="default"/>
      <w:i/>
      <w:iCs/>
    </w:rPr>
  </w:style>
  <w:style w:type="paragraph" w:styleId="Listenabsatz">
    <w:name w:val="List Paragraph"/>
    <w:basedOn w:val="Standard"/>
    <w:uiPriority w:val="34"/>
    <w:qFormat/>
    <w:rsid w:val="004B4AC0"/>
    <w:pPr>
      <w:ind w:left="720"/>
      <w:contextualSpacing/>
    </w:pPr>
  </w:style>
  <w:style w:type="paragraph" w:customStyle="1" w:styleId="Listenabsatz1">
    <w:name w:val="Listenabsatz1"/>
    <w:basedOn w:val="Standard"/>
    <w:rsid w:val="004B4AC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Absatz">
    <w:name w:val="Absatz"/>
    <w:basedOn w:val="Standard"/>
    <w:next w:val="Standard"/>
    <w:rsid w:val="004B4AC0"/>
    <w:pPr>
      <w:autoSpaceDE w:val="0"/>
      <w:autoSpaceDN w:val="0"/>
      <w:adjustRightInd w:val="0"/>
      <w:spacing w:before="60" w:after="60" w:line="240" w:lineRule="auto"/>
    </w:pPr>
    <w:rPr>
      <w:rFonts w:ascii="SenBJS" w:hAnsi="SenBJS" w:cs="Times New Roman"/>
      <w:sz w:val="24"/>
      <w:szCs w:val="24"/>
      <w:lang w:eastAsia="de-DE"/>
    </w:rPr>
  </w:style>
  <w:style w:type="character" w:customStyle="1" w:styleId="bxgy-binding-byline">
    <w:name w:val="bxgy-binding-byline"/>
    <w:rsid w:val="004B4AC0"/>
    <w:rPr>
      <w:rFonts w:ascii="Times New Roman" w:hAnsi="Times New Roman" w:cs="Times New Roman" w:hint="defaul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4E29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C4E29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4E29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C4E29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4E29"/>
    <w:rPr>
      <w:smallCaps/>
      <w:color w:val="538135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4E29"/>
    <w:rPr>
      <w:smallCaps/>
      <w:color w:val="70AD47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4E29"/>
    <w:rPr>
      <w:b/>
      <w:bCs/>
      <w:smallCaps/>
      <w:color w:val="70AD47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4E29"/>
    <w:rPr>
      <w:b/>
      <w:bCs/>
      <w:i/>
      <w:iCs/>
      <w:smallCaps/>
      <w:color w:val="538135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4E29"/>
    <w:rPr>
      <w:b/>
      <w:bCs/>
      <w:i/>
      <w:iCs/>
      <w:smallCaps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C4E29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C4E2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4E29"/>
    <w:rPr>
      <w:smallCaps/>
      <w:color w:val="262626" w:themeColor="text1" w:themeTint="D9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4E2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4E29"/>
    <w:rPr>
      <w:rFonts w:asciiTheme="majorHAnsi" w:eastAsiaTheme="majorEastAsia" w:hAnsiTheme="majorHAnsi" w:cstheme="majorBidi"/>
    </w:rPr>
  </w:style>
  <w:style w:type="character" w:styleId="Fett">
    <w:name w:val="Strong"/>
    <w:uiPriority w:val="22"/>
    <w:qFormat/>
    <w:rsid w:val="006C4E29"/>
    <w:rPr>
      <w:b/>
      <w:bCs/>
      <w:color w:val="70AD47" w:themeColor="accent6"/>
    </w:rPr>
  </w:style>
  <w:style w:type="character" w:styleId="Hervorhebung">
    <w:name w:val="Emphasis"/>
    <w:uiPriority w:val="20"/>
    <w:qFormat/>
    <w:rsid w:val="006C4E29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6C4E29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C4E29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C4E29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C4E2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C4E29"/>
    <w:rPr>
      <w:b/>
      <w:bCs/>
      <w:i/>
      <w:iCs/>
    </w:rPr>
  </w:style>
  <w:style w:type="character" w:styleId="SchwacheHervorhebung">
    <w:name w:val="Subtle Emphasis"/>
    <w:uiPriority w:val="19"/>
    <w:qFormat/>
    <w:rsid w:val="006C4E29"/>
    <w:rPr>
      <w:i/>
      <w:iCs/>
    </w:rPr>
  </w:style>
  <w:style w:type="character" w:styleId="IntensiveHervorhebung">
    <w:name w:val="Intense Emphasis"/>
    <w:uiPriority w:val="21"/>
    <w:qFormat/>
    <w:rsid w:val="006C4E29"/>
    <w:rPr>
      <w:b/>
      <w:bCs/>
      <w:i/>
      <w:iCs/>
      <w:color w:val="70AD47" w:themeColor="accent6"/>
      <w:spacing w:val="10"/>
    </w:rPr>
  </w:style>
  <w:style w:type="character" w:styleId="SchwacherVerweis">
    <w:name w:val="Subtle Reference"/>
    <w:uiPriority w:val="31"/>
    <w:qFormat/>
    <w:rsid w:val="006C4E29"/>
    <w:rPr>
      <w:b/>
      <w:bCs/>
    </w:rPr>
  </w:style>
  <w:style w:type="character" w:styleId="IntensiverVerweis">
    <w:name w:val="Intense Reference"/>
    <w:uiPriority w:val="32"/>
    <w:qFormat/>
    <w:rsid w:val="006C4E29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6C4E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C4E2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ulentwicklung.nrw.de/cms/kompass/kompetenzorientierter-unterricht-deutsch/lehrtaetigkeiten/lerngespraeche-fuehren/lerngespraeche-fuehren-und-feedback-geb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klusion-online.net/index.php/inklusion-online" TargetMode="External"/><Relationship Id="rId5" Type="http://schemas.openxmlformats.org/officeDocument/2006/relationships/hyperlink" Target="http://www.bartnitzky-burg.de/Handout_Lerntagebuecher_und_Portfoli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meiner</cp:lastModifiedBy>
  <cp:revision>2</cp:revision>
  <cp:lastPrinted>2015-03-10T07:33:00Z</cp:lastPrinted>
  <dcterms:created xsi:type="dcterms:W3CDTF">2015-03-13T15:50:00Z</dcterms:created>
  <dcterms:modified xsi:type="dcterms:W3CDTF">2015-03-13T15:50:00Z</dcterms:modified>
</cp:coreProperties>
</file>